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5E6C1B" w:rsidRDefault="00084047" w:rsidP="00880F60">
      <w:pPr>
        <w:pStyle w:val="Title"/>
        <w:rPr>
          <w:lang w:val="es-AR"/>
        </w:rPr>
      </w:pPr>
      <w:bookmarkStart w:id="0" w:name="_GoBack"/>
      <w:bookmarkEnd w:id="0"/>
      <w:r w:rsidRPr="00E55315">
        <w:rPr>
          <w:rFonts w:ascii="Georgia" w:eastAsia="Georgia" w:hAnsi="Georgia" w:cs="Georgia"/>
          <w:bCs/>
          <w:iCs/>
          <w:lang w:val="es-ES"/>
        </w:rPr>
        <w:t>Folleto A - Respuestas</w:t>
      </w:r>
    </w:p>
    <w:p w:rsidR="00947CB2" w:rsidRPr="005E6C1B" w:rsidRDefault="00084047" w:rsidP="0088416A">
      <w:pPr>
        <w:pStyle w:val="Subtitle"/>
        <w:rPr>
          <w:lang w:val="es-AR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746760</wp:posOffset>
            </wp:positionV>
            <wp:extent cx="2251710" cy="1417320"/>
            <wp:effectExtent l="19050" t="0" r="0" b="0"/>
            <wp:wrapSquare wrapText="bothSides"/>
            <wp:docPr id="2" name="Picture 2" descr="Description: C:\Users\Ellies Gaming PC\Downloads\bigstock-Mortgage-And-Down-Payment-2179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Ellies Gaming PC\Downloads\bigstock-Mortgage-And-Down-Payment-21796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es-ES"/>
        </w:rPr>
        <w:t>El pago inicial</w:t>
      </w:r>
    </w:p>
    <w:p w:rsidR="00065B99" w:rsidRPr="005E6C1B" w:rsidRDefault="00084047" w:rsidP="00065B99">
      <w:pPr>
        <w:pStyle w:val="BodyText"/>
        <w:rPr>
          <w:sz w:val="28"/>
          <w:szCs w:val="28"/>
          <w:lang w:val="es-AR"/>
        </w:rPr>
      </w:pPr>
      <w:r w:rsidRPr="00065B99">
        <w:rPr>
          <w:rFonts w:eastAsia="Georgia" w:cs="Georgia"/>
          <w:sz w:val="28"/>
          <w:szCs w:val="28"/>
          <w:lang w:val="es-ES"/>
        </w:rPr>
        <w:t>Precio de la vivienda: USD</w:t>
      </w:r>
      <w:r w:rsidR="005E6C1B">
        <w:rPr>
          <w:rFonts w:eastAsia="Georgia" w:cs="Georgia"/>
          <w:sz w:val="28"/>
          <w:szCs w:val="28"/>
          <w:lang w:val="es-ES"/>
        </w:rPr>
        <w:t> </w:t>
      </w:r>
      <w:r w:rsidRPr="00065B99">
        <w:rPr>
          <w:rFonts w:eastAsia="Georgia" w:cs="Georgia"/>
          <w:sz w:val="28"/>
          <w:szCs w:val="28"/>
          <w:lang w:val="es-ES"/>
        </w:rPr>
        <w:t>285.000</w:t>
      </w:r>
    </w:p>
    <w:p w:rsidR="00065B99" w:rsidRPr="005E6C1B" w:rsidRDefault="00084047" w:rsidP="00065B99">
      <w:pPr>
        <w:pStyle w:val="BodyText"/>
        <w:rPr>
          <w:sz w:val="28"/>
          <w:szCs w:val="28"/>
          <w:lang w:val="es-AR"/>
        </w:rPr>
      </w:pPr>
      <w:r w:rsidRPr="00065B99">
        <w:rPr>
          <w:rFonts w:eastAsia="Georgia" w:cs="Georgia"/>
          <w:sz w:val="28"/>
          <w:szCs w:val="28"/>
          <w:lang w:val="es-ES"/>
        </w:rPr>
        <w:t>Tasa de interés: 5 %</w:t>
      </w:r>
    </w:p>
    <w:p w:rsidR="00065B99" w:rsidRPr="005E6C1B" w:rsidRDefault="00084047" w:rsidP="00065B99">
      <w:pPr>
        <w:pStyle w:val="BodyText"/>
        <w:rPr>
          <w:sz w:val="28"/>
          <w:szCs w:val="28"/>
          <w:lang w:val="es-AR"/>
        </w:rPr>
      </w:pPr>
      <w:r w:rsidRPr="00065B99">
        <w:rPr>
          <w:rFonts w:eastAsia="Georgia" w:cs="Georgia"/>
          <w:sz w:val="28"/>
          <w:szCs w:val="28"/>
          <w:lang w:val="es-ES"/>
        </w:rPr>
        <w:t>Préstamo hipotecario con plazo de</w:t>
      </w:r>
      <w:r w:rsidR="005E6C1B">
        <w:rPr>
          <w:rFonts w:eastAsia="Georgia" w:cs="Georgia"/>
          <w:sz w:val="28"/>
          <w:szCs w:val="28"/>
          <w:lang w:val="es-ES"/>
        </w:rPr>
        <w:t xml:space="preserve"> </w:t>
      </w:r>
      <w:r w:rsidR="005E6C1B">
        <w:rPr>
          <w:rFonts w:eastAsia="Georgia" w:cs="Georgia"/>
          <w:sz w:val="28"/>
          <w:szCs w:val="28"/>
          <w:lang w:val="es-ES"/>
        </w:rPr>
        <w:br/>
      </w:r>
      <w:r w:rsidR="005E6C1B">
        <w:rPr>
          <w:rFonts w:eastAsia="Georgia" w:cs="Georgia"/>
          <w:sz w:val="28"/>
          <w:szCs w:val="28"/>
          <w:lang w:val="es-ES"/>
        </w:rPr>
        <w:br/>
      </w:r>
      <w:r w:rsidRPr="00065B99">
        <w:rPr>
          <w:rFonts w:eastAsia="Georgia" w:cs="Georgia"/>
          <w:sz w:val="28"/>
          <w:szCs w:val="28"/>
          <w:lang w:val="es-ES"/>
        </w:rPr>
        <w:t>30 años</w:t>
      </w:r>
    </w:p>
    <w:p w:rsidR="00065B99" w:rsidRPr="005E6C1B" w:rsidRDefault="00FC3C75" w:rsidP="00065B99">
      <w:pPr>
        <w:rPr>
          <w:lang w:val="es-AR"/>
        </w:rPr>
      </w:pPr>
    </w:p>
    <w:p w:rsidR="0088416A" w:rsidRPr="005E6C1B" w:rsidRDefault="00FC3C75" w:rsidP="0088416A">
      <w:pPr>
        <w:rPr>
          <w:lang w:val="es-AR"/>
        </w:rPr>
      </w:pPr>
    </w:p>
    <w:tbl>
      <w:tblPr>
        <w:tblStyle w:val="DP-Plain"/>
        <w:tblW w:w="5000" w:type="pct"/>
        <w:tblBorders>
          <w:insideH w:val="single" w:sz="6" w:space="0" w:color="A32020" w:themeColor="text2"/>
        </w:tblBorders>
        <w:tblLook w:val="04A0" w:firstRow="1" w:lastRow="0" w:firstColumn="1" w:lastColumn="0" w:noHBand="0" w:noVBand="1"/>
      </w:tblPr>
      <w:tblGrid>
        <w:gridCol w:w="4302"/>
        <w:gridCol w:w="1620"/>
        <w:gridCol w:w="1620"/>
        <w:gridCol w:w="1602"/>
      </w:tblGrid>
      <w:tr w:rsidR="006E294A" w:rsidTr="006E29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02" w:type="dxa"/>
          </w:tcPr>
          <w:p w:rsidR="0038599F" w:rsidRPr="00446686" w:rsidRDefault="00084047" w:rsidP="00871947">
            <w:pPr>
              <w:pStyle w:val="TableTitleArial"/>
            </w:pPr>
            <w:r w:rsidRPr="00446686">
              <w:rPr>
                <w:rFonts w:eastAsia="Arial"/>
                <w:color w:val="000000"/>
                <w:szCs w:val="20"/>
              </w:rPr>
              <w:t>Categoría</w:t>
            </w:r>
          </w:p>
        </w:tc>
        <w:tc>
          <w:tcPr>
            <w:tcW w:w="1620" w:type="dxa"/>
          </w:tcPr>
          <w:p w:rsidR="0038599F" w:rsidRDefault="00084047" w:rsidP="00871947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 xml:space="preserve">0 % </w:t>
            </w:r>
          </w:p>
          <w:p w:rsidR="0038599F" w:rsidRPr="00446686" w:rsidRDefault="005E6C1B" w:rsidP="005E6C1B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</w:rPr>
              <w:t>de p</w:t>
            </w:r>
            <w:r w:rsidR="00084047">
              <w:rPr>
                <w:rFonts w:eastAsia="Arial"/>
                <w:color w:val="000000"/>
                <w:szCs w:val="20"/>
              </w:rPr>
              <w:t>ago inicial</w:t>
            </w:r>
          </w:p>
        </w:tc>
        <w:tc>
          <w:tcPr>
            <w:tcW w:w="1620" w:type="dxa"/>
          </w:tcPr>
          <w:p w:rsidR="005E6C1B" w:rsidRDefault="00084047" w:rsidP="00871947">
            <w:pPr>
              <w:pStyle w:val="TableTitleArial"/>
              <w:jc w:val="right"/>
              <w:rPr>
                <w:rFonts w:eastAsia="Arial"/>
                <w:color w:val="000000"/>
                <w:szCs w:val="20"/>
              </w:rPr>
            </w:pPr>
            <w:r w:rsidRPr="0038599F">
              <w:rPr>
                <w:rFonts w:eastAsia="Arial"/>
                <w:color w:val="000000"/>
                <w:szCs w:val="20"/>
              </w:rPr>
              <w:t xml:space="preserve">10 % </w:t>
            </w:r>
          </w:p>
          <w:p w:rsidR="0038599F" w:rsidRPr="0038599F" w:rsidRDefault="00084047" w:rsidP="00871947">
            <w:pPr>
              <w:pStyle w:val="TableTitleArial"/>
              <w:jc w:val="right"/>
            </w:pPr>
            <w:r w:rsidRPr="0038599F">
              <w:rPr>
                <w:rFonts w:eastAsia="Arial"/>
                <w:color w:val="000000"/>
                <w:szCs w:val="20"/>
              </w:rPr>
              <w:t>de pago inicial</w:t>
            </w:r>
          </w:p>
        </w:tc>
        <w:tc>
          <w:tcPr>
            <w:tcW w:w="1602" w:type="dxa"/>
          </w:tcPr>
          <w:p w:rsidR="005E6C1B" w:rsidRDefault="00084047" w:rsidP="00871947">
            <w:pPr>
              <w:pStyle w:val="TableTitleArial"/>
              <w:jc w:val="right"/>
              <w:rPr>
                <w:rFonts w:eastAsia="Arial"/>
                <w:color w:val="000000"/>
                <w:szCs w:val="20"/>
              </w:rPr>
            </w:pPr>
            <w:r w:rsidRPr="0038599F">
              <w:rPr>
                <w:rFonts w:eastAsia="Arial"/>
                <w:color w:val="000000"/>
                <w:szCs w:val="20"/>
              </w:rPr>
              <w:t xml:space="preserve">20 % </w:t>
            </w:r>
          </w:p>
          <w:p w:rsidR="0038599F" w:rsidRPr="0038599F" w:rsidRDefault="00084047" w:rsidP="00871947">
            <w:pPr>
              <w:pStyle w:val="TableTitleArial"/>
              <w:jc w:val="right"/>
            </w:pPr>
            <w:r w:rsidRPr="0038599F">
              <w:rPr>
                <w:rFonts w:eastAsia="Arial"/>
                <w:color w:val="000000"/>
                <w:szCs w:val="20"/>
              </w:rPr>
              <w:t>de pago inicial</w:t>
            </w:r>
          </w:p>
        </w:tc>
      </w:tr>
      <w:tr w:rsidR="006E294A" w:rsidTr="006E294A">
        <w:tc>
          <w:tcPr>
            <w:tcW w:w="4302" w:type="dxa"/>
          </w:tcPr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¿Pago inicial de cuánto?</w:t>
            </w:r>
          </w:p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(porcentaje en formato decimal × capital)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28.500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 xml:space="preserve">USD 57.000 </w:t>
            </w:r>
          </w:p>
        </w:tc>
      </w:tr>
      <w:tr w:rsidR="006E294A" w:rsidTr="006E294A">
        <w:tc>
          <w:tcPr>
            <w:tcW w:w="4302" w:type="dxa"/>
          </w:tcPr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 es el capital?</w:t>
            </w:r>
          </w:p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(precio de la vivienda – pago inicial)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285.000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256.500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228.000</w:t>
            </w:r>
          </w:p>
        </w:tc>
      </w:tr>
      <w:tr w:rsidR="006E294A" w:rsidTr="006E294A">
        <w:tc>
          <w:tcPr>
            <w:tcW w:w="4302" w:type="dxa"/>
            <w:shd w:val="clear" w:color="auto" w:fill="F4CACA" w:themeFill="text2" w:themeFillTint="33"/>
          </w:tcPr>
          <w:p w:rsidR="002A1A6A" w:rsidRPr="0038599F" w:rsidRDefault="00FC3C75" w:rsidP="00146D2B">
            <w:pPr>
              <w:pStyle w:val="TabletextArial"/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2A1A6A" w:rsidRPr="0038599F" w:rsidRDefault="00FC3C75" w:rsidP="00146D2B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2A1A6A" w:rsidRPr="00EB36B8" w:rsidRDefault="00FC3C75" w:rsidP="00146D2B">
            <w:pPr>
              <w:pStyle w:val="TabletextArial"/>
              <w:jc w:val="right"/>
              <w:rPr>
                <w:b/>
                <w:i/>
              </w:rPr>
            </w:pPr>
          </w:p>
        </w:tc>
        <w:tc>
          <w:tcPr>
            <w:tcW w:w="1602" w:type="dxa"/>
            <w:shd w:val="clear" w:color="auto" w:fill="F4CACA" w:themeFill="text2" w:themeFillTint="33"/>
          </w:tcPr>
          <w:p w:rsidR="002A1A6A" w:rsidRPr="00EB36B8" w:rsidRDefault="00FC3C75" w:rsidP="00146D2B">
            <w:pPr>
              <w:pStyle w:val="TabletextArial"/>
              <w:jc w:val="right"/>
              <w:rPr>
                <w:b/>
                <w:i/>
              </w:rPr>
            </w:pPr>
          </w:p>
        </w:tc>
      </w:tr>
      <w:tr w:rsidR="006E294A" w:rsidTr="006E294A">
        <w:tc>
          <w:tcPr>
            <w:tcW w:w="4302" w:type="dxa"/>
          </w:tcPr>
          <w:p w:rsidR="002A1A6A" w:rsidRPr="0038599F" w:rsidRDefault="00084047" w:rsidP="00146D2B">
            <w:pPr>
              <w:pStyle w:val="TabletextArial"/>
            </w:pPr>
            <w:r w:rsidRPr="0038599F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1.530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1.377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1.224</w:t>
            </w:r>
          </w:p>
        </w:tc>
      </w:tr>
      <w:tr w:rsidR="006E294A" w:rsidTr="006E294A">
        <w:tc>
          <w:tcPr>
            <w:tcW w:w="4302" w:type="dxa"/>
          </w:tcPr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¿Cuántos pagos?</w:t>
            </w:r>
          </w:p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360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360</w:t>
            </w:r>
          </w:p>
        </w:tc>
      </w:tr>
      <w:tr w:rsidR="006E294A" w:rsidTr="006E294A">
        <w:tc>
          <w:tcPr>
            <w:tcW w:w="4302" w:type="dxa"/>
          </w:tcPr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¿Cuál es el costo total del interés y capital?</w:t>
            </w:r>
          </w:p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550.800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495.720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440.640</w:t>
            </w:r>
          </w:p>
        </w:tc>
      </w:tr>
      <w:tr w:rsidR="006E294A" w:rsidTr="006E294A">
        <w:tc>
          <w:tcPr>
            <w:tcW w:w="4302" w:type="dxa"/>
          </w:tcPr>
          <w:p w:rsidR="002A1A6A" w:rsidRPr="005E6C1B" w:rsidRDefault="00084047" w:rsidP="00146D2B">
            <w:pPr>
              <w:pStyle w:val="TabletextArial"/>
              <w:rPr>
                <w:lang w:val="es-AR"/>
              </w:rPr>
            </w:pPr>
            <w:r w:rsidRPr="0038599F">
              <w:rPr>
                <w:rFonts w:eastAsia="Arial"/>
                <w:lang w:val="es-ES"/>
              </w:rPr>
              <w:t>¿Cuánto se paga de interés?</w:t>
            </w:r>
          </w:p>
          <w:p w:rsidR="002A1A6A" w:rsidRPr="0038599F" w:rsidRDefault="00084047" w:rsidP="00146D2B">
            <w:pPr>
              <w:pStyle w:val="TabletextArial"/>
            </w:pPr>
            <w:r w:rsidRPr="0038599F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2A1A6A" w:rsidRPr="0038599F" w:rsidRDefault="00084047" w:rsidP="00146D2B">
            <w:pPr>
              <w:pStyle w:val="TabletextArial"/>
              <w:jc w:val="right"/>
              <w:rPr>
                <w:b/>
              </w:rPr>
            </w:pPr>
            <w:r w:rsidRPr="0038599F">
              <w:rPr>
                <w:rFonts w:eastAsia="Arial"/>
                <w:b/>
                <w:bCs/>
                <w:lang w:val="es-ES"/>
              </w:rPr>
              <w:t>USD 265.800</w:t>
            </w:r>
          </w:p>
        </w:tc>
        <w:tc>
          <w:tcPr>
            <w:tcW w:w="1620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239.220</w:t>
            </w:r>
          </w:p>
        </w:tc>
        <w:tc>
          <w:tcPr>
            <w:tcW w:w="1602" w:type="dxa"/>
          </w:tcPr>
          <w:p w:rsidR="002A1A6A" w:rsidRPr="00EB36B8" w:rsidRDefault="00084047" w:rsidP="00146D2B">
            <w:pPr>
              <w:pStyle w:val="TabletextArial"/>
              <w:jc w:val="right"/>
              <w:rPr>
                <w:b/>
                <w:i/>
              </w:rPr>
            </w:pPr>
            <w:r w:rsidRPr="00EB36B8">
              <w:rPr>
                <w:rFonts w:eastAsia="Arial"/>
                <w:b/>
                <w:bCs/>
                <w:i/>
                <w:iCs/>
                <w:lang w:val="es-ES"/>
              </w:rPr>
              <w:t>USD 212.640</w:t>
            </w:r>
          </w:p>
        </w:tc>
      </w:tr>
    </w:tbl>
    <w:p w:rsidR="00446686" w:rsidRDefault="00FC3C75" w:rsidP="00446686">
      <w:pPr>
        <w:pStyle w:val="BodyText"/>
      </w:pPr>
    </w:p>
    <w:p w:rsidR="00446686" w:rsidRDefault="00FC3C75" w:rsidP="00446686">
      <w:pPr>
        <w:pStyle w:val="BodyText"/>
      </w:pPr>
    </w:p>
    <w:sectPr w:rsidR="00446686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047" w:rsidRDefault="00084047" w:rsidP="006E294A">
      <w:pPr>
        <w:spacing w:after="0" w:line="240" w:lineRule="auto"/>
      </w:pPr>
      <w:r>
        <w:separator/>
      </w:r>
    </w:p>
  </w:endnote>
  <w:endnote w:type="continuationSeparator" w:id="0">
    <w:p w:rsidR="00084047" w:rsidRDefault="00084047" w:rsidP="006E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FC3C75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5E6C1B" w:rsidRDefault="00084047" w:rsidP="00713A78">
                <w:pPr>
                  <w:pStyle w:val="Copyright"/>
                  <w:rPr>
                    <w:lang w:val="es-AR"/>
                  </w:rPr>
                </w:pPr>
                <w:r w:rsidRPr="00713A78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</w:t>
                </w:r>
                <w:r w:rsidR="00C421C6">
                  <w:rPr>
                    <w:rFonts w:eastAsia="Arial"/>
                    <w:lang w:val="es-ES"/>
                  </w:rPr>
                  <w:t xml:space="preserve">es una entidad legal separada. Consulte </w:t>
                </w:r>
                <w:r w:rsidRPr="00713A78">
                  <w:rPr>
                    <w:rFonts w:eastAsia="Arial"/>
                    <w:lang w:val="es-ES"/>
                  </w:rPr>
                  <w:t xml:space="preserve">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084047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047" w:rsidRDefault="00084047" w:rsidP="006E294A">
      <w:pPr>
        <w:spacing w:after="0" w:line="240" w:lineRule="auto"/>
      </w:pPr>
      <w:r>
        <w:separator/>
      </w:r>
    </w:p>
  </w:footnote>
  <w:footnote w:type="continuationSeparator" w:id="0">
    <w:p w:rsidR="00084047" w:rsidRDefault="00084047" w:rsidP="006E2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6E294A" w:rsidTr="0084517A">
      <w:tc>
        <w:tcPr>
          <w:tcW w:w="5000" w:type="pct"/>
        </w:tcPr>
        <w:p w:rsidR="002F372E" w:rsidRPr="009B5B65" w:rsidRDefault="00FC3C7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C3C75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84047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5FC0C0B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3B8C35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1C4455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320BD1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128264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E7887E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24E509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63AF93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17036D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484325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7A161E28" w:tentative="1">
      <w:start w:val="1"/>
      <w:numFmt w:val="lowerLetter"/>
      <w:lvlText w:val="%2."/>
      <w:lvlJc w:val="left"/>
      <w:pPr>
        <w:ind w:left="2246" w:hanging="360"/>
      </w:pPr>
    </w:lvl>
    <w:lvl w:ilvl="2" w:tplc="25F474EC" w:tentative="1">
      <w:start w:val="1"/>
      <w:numFmt w:val="lowerRoman"/>
      <w:lvlText w:val="%3."/>
      <w:lvlJc w:val="right"/>
      <w:pPr>
        <w:ind w:left="2966" w:hanging="180"/>
      </w:pPr>
    </w:lvl>
    <w:lvl w:ilvl="3" w:tplc="19369E66" w:tentative="1">
      <w:start w:val="1"/>
      <w:numFmt w:val="decimal"/>
      <w:lvlText w:val="%4."/>
      <w:lvlJc w:val="left"/>
      <w:pPr>
        <w:ind w:left="3686" w:hanging="360"/>
      </w:pPr>
    </w:lvl>
    <w:lvl w:ilvl="4" w:tplc="42566118" w:tentative="1">
      <w:start w:val="1"/>
      <w:numFmt w:val="lowerLetter"/>
      <w:lvlText w:val="%5."/>
      <w:lvlJc w:val="left"/>
      <w:pPr>
        <w:ind w:left="4406" w:hanging="360"/>
      </w:pPr>
    </w:lvl>
    <w:lvl w:ilvl="5" w:tplc="2BDC12F6" w:tentative="1">
      <w:start w:val="1"/>
      <w:numFmt w:val="lowerRoman"/>
      <w:lvlText w:val="%6."/>
      <w:lvlJc w:val="right"/>
      <w:pPr>
        <w:ind w:left="5126" w:hanging="180"/>
      </w:pPr>
    </w:lvl>
    <w:lvl w:ilvl="6" w:tplc="E8DAAA52" w:tentative="1">
      <w:start w:val="1"/>
      <w:numFmt w:val="decimal"/>
      <w:lvlText w:val="%7."/>
      <w:lvlJc w:val="left"/>
      <w:pPr>
        <w:ind w:left="5846" w:hanging="360"/>
      </w:pPr>
    </w:lvl>
    <w:lvl w:ilvl="7" w:tplc="BB36BEDE" w:tentative="1">
      <w:start w:val="1"/>
      <w:numFmt w:val="lowerLetter"/>
      <w:lvlText w:val="%8."/>
      <w:lvlJc w:val="left"/>
      <w:pPr>
        <w:ind w:left="6566" w:hanging="360"/>
      </w:pPr>
    </w:lvl>
    <w:lvl w:ilvl="8" w:tplc="DD187BE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C4382F5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9369A6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D1CCD2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5767D1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A7A228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12CE51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B34165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08A9A1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D60A24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D9C15C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C58031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AC3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901D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65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FC0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6B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70C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625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C1266FC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0F84A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B82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70D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60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5A3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28E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828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C47E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94A"/>
    <w:rsid w:val="00084047"/>
    <w:rsid w:val="005E6C1B"/>
    <w:rsid w:val="006E294A"/>
    <w:rsid w:val="00C421C6"/>
    <w:rsid w:val="00FC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162FD-364E-9248-AA3D-13FF136B8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108</Words>
  <Characters>619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2012-06-27T20:43:00Z</cp:lastPrinted>
  <dcterms:created xsi:type="dcterms:W3CDTF">2012-12-31T05:14:00Z</dcterms:created>
  <dcterms:modified xsi:type="dcterms:W3CDTF">2012-12-31T05:14:00Z</dcterms:modified>
</cp:coreProperties>
</file>